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Criteri generali per la determinazione delle tariffe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criteri generali per la determinazione delle tariffe che non sono di competenza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generale delle entrate comunali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01D35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90E92" w:rsidRDefault="00CD28F5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501D35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90E92" w:rsidRDefault="00CD28F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entro il 31 dicembre e comunque prima dell'approvazione del bilancio di </w:t>
            </w:r>
            <w:r w:rsidRPr="007137E0">
              <w:rPr>
                <w:rFonts w:ascii="Arial" w:hAnsi="Arial"/>
                <w:color w:val="000000"/>
              </w:rPr>
              <w:lastRenderedPageBreak/>
              <w:t>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01D3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90E92"/>
    <w:rsid w:val="004A3801"/>
    <w:rsid w:val="004D2B3E"/>
    <w:rsid w:val="004D3DC8"/>
    <w:rsid w:val="004F297B"/>
    <w:rsid w:val="00501D35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28F5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35A51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2026-06-06T19:24:00Z</dcterms:modified>
</cp:coreProperties>
</file>